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77777777" w:rsidR="0054209E" w:rsidRPr="0015676C" w:rsidRDefault="0054209E" w:rsidP="0054209E">
      <w:pPr>
        <w:pStyle w:val="Titul2"/>
      </w:pPr>
      <w:r w:rsidRPr="00EF559B">
        <w:t>„</w:t>
      </w:r>
      <w:r w:rsidR="00EF559B" w:rsidRPr="00373009">
        <w:t>Nákup automatického závěsného zařízení k drážním vozidlům</w:t>
      </w:r>
      <w:r w:rsidRPr="00373009">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09209E76"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21.3.2018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77777777" w:rsidR="0054209E" w:rsidRPr="009F48B1" w:rsidRDefault="0054209E" w:rsidP="0054209E">
      <w:pPr>
        <w:pStyle w:val="Odstavecseseznamem"/>
        <w:spacing w:before="240"/>
        <w:ind w:left="1077"/>
        <w:contextualSpacing w:val="0"/>
        <w:rPr>
          <w:b/>
          <w:noProof/>
        </w:rPr>
      </w:pPr>
      <w:r w:rsidRPr="009F48B1">
        <w:rPr>
          <w:b/>
          <w:noProof/>
        </w:rPr>
        <w:t xml:space="preserve">č. smlouvy kupujícího: </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"[VLOŽÍ PRODÁVAJÍCÍ]"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5963350A" w14:textId="7E58C519"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57BDD11D"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373009" w:rsidRPr="00373009">
        <w:rPr>
          <w:noProof/>
        </w:rPr>
        <w:t>7</w:t>
      </w:r>
      <w:r w:rsidR="0036685B">
        <w:rPr>
          <w:noProof/>
        </w:rPr>
        <w:t>335/2021-SŽ-OŘ PHA-OVZ ze dne 19</w:t>
      </w:r>
      <w:r w:rsidR="00373009" w:rsidRPr="00373009">
        <w:rPr>
          <w:noProof/>
        </w:rPr>
        <w:t>. 03.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439FB7C3"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p>
    <w:p w14:paraId="1B304AE0" w14:textId="52FBAB5D" w:rsidR="00067016" w:rsidRDefault="00FE1CF2" w:rsidP="00FE1CF2">
      <w:pPr>
        <w:ind w:left="624"/>
        <w:rPr>
          <w:noProof/>
          <w:color w:val="000000" w:themeColor="text1"/>
        </w:rPr>
      </w:pPr>
      <w:r w:rsidRPr="00373009">
        <w:rPr>
          <w:noProof/>
          <w:color w:val="000000" w:themeColor="text1"/>
        </w:rPr>
        <w:t>dodávka 26 ks automatického závěsného zařízení k drážním vozidlům (dále též zboží)</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474F8707" w:rsidR="00FE1CF2" w:rsidRDefault="00373009"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Odběr</w:t>
      </w:r>
      <w:r w:rsidR="00CD24EC">
        <w:rPr>
          <w:rFonts w:ascii="Verdana" w:eastAsia="Verdana" w:hAnsi="Verdana" w:cs="Times New Roman"/>
          <w:noProof/>
        </w:rPr>
        <w:t xml:space="preserve"> </w:t>
      </w:r>
      <w:r w:rsidR="000C1581" w:rsidRPr="000C1581">
        <w:rPr>
          <w:rFonts w:ascii="Verdana" w:eastAsia="Verdana" w:hAnsi="Verdana" w:cs="Times New Roman"/>
          <w:noProof/>
        </w:rPr>
        <w:t>zboží se uskuteční v místě provozovny dodavatele</w:t>
      </w:r>
      <w:r>
        <w:rPr>
          <w:rFonts w:ascii="Verdana" w:eastAsia="Verdana" w:hAnsi="Verdana" w:cs="Times New Roman"/>
          <w:noProof/>
        </w:rPr>
        <w:t xml:space="preserve">. </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640E60F3"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Pr="00373009">
        <w:rPr>
          <w:b/>
          <w:noProof/>
        </w:rPr>
        <w:t>30. 09. 2021.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77777777"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za 1 ks bez DPH:             </w:t>
      </w:r>
      <w:r w:rsidRPr="0054630A">
        <w:rPr>
          <w:highlight w:val="yellow"/>
        </w:rPr>
        <w:tab/>
        <w:t>Kč</w:t>
      </w:r>
    </w:p>
    <w:p w14:paraId="63898F33" w14:textId="7EFC5E20"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 xml:space="preserve">Celková </w:t>
      </w:r>
      <w:r w:rsidR="001A64D1">
        <w:rPr>
          <w:highlight w:val="yellow"/>
        </w:rPr>
        <w:t>cena za 26</w:t>
      </w:r>
      <w:r w:rsidRPr="0054630A">
        <w:rPr>
          <w:highlight w:val="yellow"/>
        </w:rPr>
        <w:t xml:space="preserve"> ks bez DPH:          </w:t>
      </w:r>
      <w:r>
        <w:rPr>
          <w:highlight w:val="yellow"/>
        </w:rPr>
        <w:tab/>
      </w:r>
      <w:r w:rsidRPr="0054630A">
        <w:rPr>
          <w:highlight w:val="yellow"/>
        </w:rPr>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5BC00C24" w:rsidR="004451FE" w:rsidRPr="00D47B38" w:rsidRDefault="004451FE" w:rsidP="004451FE">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1A64D1">
        <w:rPr>
          <w:highlight w:val="yellow"/>
        </w:rPr>
        <w:t>ena za 26</w:t>
      </w:r>
      <w:r w:rsidRPr="00D47B38">
        <w:rPr>
          <w:highlight w:val="yellow"/>
        </w:rPr>
        <w:t xml:space="preserve"> ks včetně DPH         </w:t>
      </w:r>
      <w:r>
        <w:rPr>
          <w:highlight w:val="yellow"/>
        </w:rPr>
        <w:tab/>
      </w:r>
      <w:r w:rsidRPr="00D47B38">
        <w:rPr>
          <w:highlight w:val="yellow"/>
        </w:rPr>
        <w:t>Kč</w:t>
      </w:r>
    </w:p>
    <w:p w14:paraId="14459882" w14:textId="7BD3FA42"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005073B1">
        <w:rPr>
          <w:highlight w:val="yellow"/>
        </w:rPr>
        <w:t xml:space="preserve">za 26 ks </w:t>
      </w:r>
      <w:bookmarkStart w:id="0" w:name="_GoBack"/>
      <w:bookmarkEnd w:id="0"/>
      <w:r w:rsidRPr="0054630A">
        <w:rPr>
          <w:highlight w:val="yellow"/>
        </w:rPr>
        <w:t xml:space="preserve">bez DPH slovy:  </w:t>
      </w:r>
      <w:r w:rsidRPr="0054630A">
        <w:rPr>
          <w:highlight w:val="yellow"/>
        </w:rPr>
        <w:tab/>
        <w:t>Kč</w:t>
      </w:r>
    </w:p>
    <w:p w14:paraId="257A3EF1" w14:textId="19E0D392"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7B581F" w:rsidRDefault="00943057" w:rsidP="00373009">
      <w:pPr>
        <w:pStyle w:val="Odstavecseseznamem"/>
        <w:numPr>
          <w:ilvl w:val="1"/>
          <w:numId w:val="5"/>
        </w:numPr>
        <w:ind w:left="1078" w:hanging="454"/>
        <w:contextualSpacing w:val="0"/>
        <w:rPr>
          <w:noProof/>
        </w:rPr>
      </w:pPr>
      <w:r w:rsidRPr="007B581F">
        <w:rPr>
          <w:noProof/>
        </w:rPr>
        <w:lastRenderedPageBreak/>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dobu </w:t>
      </w:r>
      <w:r w:rsidRPr="00943057">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77777777" w:rsidR="00943057" w:rsidRPr="00373009" w:rsidRDefault="00943057" w:rsidP="00943057">
      <w:pPr>
        <w:pStyle w:val="Odstavecseseznamem"/>
        <w:spacing w:after="120"/>
        <w:ind w:left="1077"/>
        <w:contextualSpacing w:val="0"/>
        <w:rPr>
          <w:b/>
          <w:noProof/>
        </w:rPr>
      </w:pPr>
      <w:r>
        <w:rPr>
          <w:b/>
          <w:noProof/>
        </w:rPr>
        <w:t xml:space="preserve">- </w:t>
      </w:r>
      <w:r w:rsidRPr="00373009">
        <w:rPr>
          <w:b/>
          <w:noProof/>
        </w:rPr>
        <w:t>František Klíma, mechanizátor, tel.: +420 723 468 318</w:t>
      </w:r>
    </w:p>
    <w:p w14:paraId="26E46CD9" w14:textId="77777777" w:rsidR="00943057" w:rsidRPr="004F423E" w:rsidRDefault="00943057" w:rsidP="00943057">
      <w:pPr>
        <w:pStyle w:val="Odstavecseseznamem"/>
        <w:spacing w:after="120"/>
        <w:ind w:left="1077"/>
        <w:contextualSpacing w:val="0"/>
        <w:rPr>
          <w:b/>
          <w:noProof/>
        </w:rPr>
      </w:pPr>
      <w:r w:rsidRPr="00373009">
        <w:rPr>
          <w:b/>
          <w:noProof/>
        </w:rPr>
        <w:t xml:space="preserve">- Oldřich Šlajchrt, vedoucí provozního střediska tratí, tel.: +420 724 522 370 </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73009">
      <w:pPr>
        <w:pStyle w:val="Odstavecseseznamem"/>
        <w:numPr>
          <w:ilvl w:val="1"/>
          <w:numId w:val="5"/>
        </w:numPr>
        <w:ind w:left="1078" w:hanging="454"/>
        <w:contextualSpacing w:val="0"/>
        <w:rPr>
          <w:noProof/>
        </w:rPr>
      </w:pPr>
      <w:r>
        <w:rPr>
          <w:noProof/>
        </w:rPr>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Náměstí Jana Pernera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r w:rsidRPr="009A5FC4">
        <w:rPr>
          <w:rFonts w:ascii="Verdana" w:hAnsi="Verdana"/>
          <w:b/>
          <w:bCs/>
        </w:rPr>
        <w:t>uccchjm</w:t>
      </w:r>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6BD6DEE4" w:rsidR="00943057" w:rsidRPr="00110ED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lastRenderedPageBreak/>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Pokud je povinná smluvní strana v prodlení se zaplacením smluvní pokuty, zavazuje se uhradit druhé smluvní straně úrok z prodlení ve výši stanovené obecně </w:t>
      </w:r>
      <w:r w:rsidRPr="007B581F">
        <w:rPr>
          <w:noProof/>
        </w:rPr>
        <w:lastRenderedPageBreak/>
        <w:t>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1515208" w:rsidR="0054209E" w:rsidRPr="003F3337" w:rsidRDefault="00F76768" w:rsidP="00564D10">
      <w:pPr>
        <w:pStyle w:val="Odstavecseseznamem"/>
        <w:numPr>
          <w:ilvl w:val="0"/>
          <w:numId w:val="8"/>
        </w:numPr>
        <w:spacing w:after="120"/>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5395A6B4" w14:textId="77777777"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73009">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6E303891"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4AF71726" w14:textId="77777777" w:rsidR="00F32FF8" w:rsidRPr="000B39E3" w:rsidRDefault="00F32FF8" w:rsidP="001F274F">
      <w:pPr>
        <w:spacing w:before="60" w:after="0" w:line="240" w:lineRule="auto"/>
        <w:ind w:left="1247"/>
      </w:pPr>
    </w:p>
    <w:p w14:paraId="647CDB20" w14:textId="6D529818" w:rsidR="00C75CE5" w:rsidRPr="001F274F" w:rsidRDefault="00F32FF8"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.2</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w:t>
      </w:r>
      <w:r w:rsidR="00C75CE5" w:rsidRPr="001F274F">
        <w:rPr>
          <w:rFonts w:ascii="Verdana" w:eastAsia="Verdana" w:hAnsi="Verdana" w:cs="Times New Roman"/>
          <w:noProof/>
        </w:rPr>
        <w:lastRenderedPageBreak/>
        <w:t>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564D10">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w:t>
      </w:r>
      <w:r w:rsidRPr="001F274F">
        <w:rPr>
          <w:rFonts w:ascii="Verdana" w:eastAsia="Verdana" w:hAnsi="Verdana" w:cs="Times New Roman"/>
          <w:noProof/>
        </w:rPr>
        <w:lastRenderedPageBreak/>
        <w:t xml:space="preserve">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1F274F" w:rsidRDefault="00DE3829"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4C663A"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4C663A">
        <w:rPr>
          <w:rFonts w:asciiTheme="minorHAnsi" w:hAnsiTheme="minorHAnsi" w:cs="Times New Roman"/>
          <w:sz w:val="18"/>
          <w:szCs w:val="18"/>
        </w:rPr>
        <w:t>Příloha č. 1:</w:t>
      </w:r>
      <w:r w:rsidRPr="004C663A">
        <w:rPr>
          <w:rFonts w:asciiTheme="minorHAnsi" w:hAnsiTheme="minorHAnsi" w:cs="Times New Roman"/>
          <w:sz w:val="18"/>
          <w:szCs w:val="18"/>
        </w:rPr>
        <w:tab/>
        <w:t>Formulář nabídky</w:t>
      </w:r>
    </w:p>
    <w:p w14:paraId="0A1344C7" w14:textId="77777777" w:rsidR="007063C7" w:rsidRPr="004C663A" w:rsidRDefault="007063C7" w:rsidP="007063C7">
      <w:pPr>
        <w:pStyle w:val="BodyText31"/>
        <w:tabs>
          <w:tab w:val="clear" w:pos="2268"/>
          <w:tab w:val="clear" w:pos="4536"/>
        </w:tabs>
        <w:ind w:left="420"/>
        <w:jc w:val="left"/>
        <w:rPr>
          <w:rFonts w:asciiTheme="minorHAnsi" w:hAnsiTheme="minorHAnsi"/>
          <w:sz w:val="18"/>
          <w:szCs w:val="18"/>
        </w:rPr>
      </w:pPr>
      <w:r w:rsidRPr="004C663A">
        <w:rPr>
          <w:rFonts w:asciiTheme="minorHAnsi" w:hAnsiTheme="minorHAnsi" w:cs="Times New Roman"/>
          <w:sz w:val="18"/>
          <w:szCs w:val="18"/>
        </w:rPr>
        <w:t>Příloha č. 2:</w:t>
      </w:r>
      <w:r w:rsidRPr="004C663A">
        <w:rPr>
          <w:rFonts w:asciiTheme="minorHAnsi" w:hAnsiTheme="minorHAnsi" w:cs="Times New Roman"/>
          <w:sz w:val="18"/>
          <w:szCs w:val="18"/>
        </w:rPr>
        <w:tab/>
      </w:r>
      <w:r w:rsidRPr="004C663A">
        <w:rPr>
          <w:rFonts w:asciiTheme="minorHAnsi" w:hAnsiTheme="minorHAnsi"/>
          <w:sz w:val="18"/>
          <w:szCs w:val="18"/>
        </w:rPr>
        <w:t>Oprávněné osoby</w:t>
      </w:r>
      <w:r w:rsidRPr="004C663A" w:rsidDel="000710A8">
        <w:rPr>
          <w:rFonts w:asciiTheme="minorHAnsi" w:hAnsiTheme="minorHAnsi"/>
          <w:sz w:val="18"/>
          <w:szCs w:val="18"/>
        </w:rPr>
        <w:t xml:space="preserve"> </w:t>
      </w:r>
    </w:p>
    <w:p w14:paraId="26E5D54B" w14:textId="471A96C7" w:rsidR="007063C7" w:rsidRPr="004C663A" w:rsidRDefault="001A64D1"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cs="Times New Roman"/>
          <w:sz w:val="18"/>
          <w:szCs w:val="18"/>
        </w:rPr>
        <w:t>Příloha č. 3</w:t>
      </w:r>
      <w:r w:rsidR="007063C7" w:rsidRPr="004C663A">
        <w:rPr>
          <w:rFonts w:asciiTheme="minorHAnsi" w:hAnsiTheme="minorHAnsi" w:cs="Times New Roman"/>
          <w:sz w:val="18"/>
          <w:szCs w:val="18"/>
        </w:rPr>
        <w:t>:</w:t>
      </w:r>
      <w:r w:rsidR="007063C7" w:rsidRPr="004C663A">
        <w:rPr>
          <w:rFonts w:asciiTheme="minorHAnsi" w:hAnsiTheme="minorHAnsi" w:cs="Times New Roman"/>
          <w:sz w:val="18"/>
          <w:szCs w:val="18"/>
        </w:rPr>
        <w:tab/>
      </w:r>
      <w:r w:rsidR="007063C7" w:rsidRPr="004C663A">
        <w:rPr>
          <w:rFonts w:asciiTheme="minorHAnsi" w:hAnsiTheme="minorHAnsi"/>
          <w:sz w:val="18"/>
          <w:szCs w:val="18"/>
        </w:rPr>
        <w:t>Seznam poddodavatelů</w:t>
      </w:r>
      <w:r w:rsidR="007063C7" w:rsidRPr="004C663A" w:rsidDel="000710A8">
        <w:rPr>
          <w:rFonts w:asciiTheme="minorHAnsi" w:hAnsiTheme="minorHAnsi"/>
          <w:sz w:val="18"/>
          <w:szCs w:val="18"/>
        </w:rPr>
        <w:t xml:space="preserve"> </w:t>
      </w:r>
    </w:p>
    <w:p w14:paraId="7A02B440" w14:textId="77777777" w:rsidR="004C663A" w:rsidRDefault="004C663A" w:rsidP="0054209E">
      <w:pPr>
        <w:tabs>
          <w:tab w:val="left" w:pos="5103"/>
        </w:tabs>
      </w:pPr>
    </w:p>
    <w:p w14:paraId="372521B6" w14:textId="4B543F06" w:rsidR="008136F8" w:rsidRDefault="008136F8" w:rsidP="0054209E">
      <w:pPr>
        <w:tabs>
          <w:tab w:val="left" w:pos="5103"/>
        </w:tabs>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38D0249A" w14:textId="4FB5704E" w:rsidR="004C663A" w:rsidRDefault="0054209E" w:rsidP="004E7289">
      <w:r w:rsidRPr="0019340A">
        <w:t>Tato smlouva byla uveřejněna prostředni</w:t>
      </w:r>
      <w:r w:rsidR="004E7289">
        <w:t>ctvím Registru smluv dne ………………</w:t>
      </w:r>
    </w:p>
    <w:p w14:paraId="1BD4CF1A" w14:textId="77777777" w:rsidR="001A64D1" w:rsidRDefault="001A64D1" w:rsidP="00E76DC4">
      <w:pPr>
        <w:pStyle w:val="Nadpisbezsl1-1"/>
      </w:pPr>
    </w:p>
    <w:p w14:paraId="76B02BFC" w14:textId="77777777" w:rsidR="001A64D1" w:rsidRDefault="001A64D1" w:rsidP="00E76DC4">
      <w:pPr>
        <w:pStyle w:val="Nadpisbezsl1-1"/>
      </w:pPr>
    </w:p>
    <w:p w14:paraId="036D41F1" w14:textId="77777777" w:rsidR="001A64D1" w:rsidRDefault="001A64D1" w:rsidP="00E76DC4">
      <w:pPr>
        <w:pStyle w:val="Nadpisbezsl1-1"/>
      </w:pPr>
    </w:p>
    <w:p w14:paraId="7356FBA2" w14:textId="77777777" w:rsidR="001A64D1" w:rsidRDefault="001A64D1" w:rsidP="00E76DC4">
      <w:pPr>
        <w:pStyle w:val="Nadpisbezsl1-1"/>
      </w:pPr>
    </w:p>
    <w:p w14:paraId="5FBCE32E" w14:textId="77777777" w:rsidR="001A64D1" w:rsidRDefault="001A64D1" w:rsidP="00E76DC4">
      <w:pPr>
        <w:pStyle w:val="Nadpisbezsl1-1"/>
      </w:pPr>
    </w:p>
    <w:p w14:paraId="2998119F" w14:textId="77777777" w:rsidR="001A64D1" w:rsidRDefault="001A64D1" w:rsidP="00E76DC4">
      <w:pPr>
        <w:pStyle w:val="Nadpisbezsl1-1"/>
      </w:pPr>
    </w:p>
    <w:p w14:paraId="197488C8" w14:textId="77777777" w:rsidR="001A64D1" w:rsidRDefault="001A64D1" w:rsidP="00E76DC4">
      <w:pPr>
        <w:pStyle w:val="Nadpisbezsl1-1"/>
      </w:pPr>
    </w:p>
    <w:p w14:paraId="4CB0E7D4" w14:textId="77777777" w:rsidR="001A64D1" w:rsidRDefault="001A64D1" w:rsidP="00E76DC4">
      <w:pPr>
        <w:pStyle w:val="Nadpisbezsl1-1"/>
      </w:pPr>
    </w:p>
    <w:p w14:paraId="72434E69" w14:textId="77777777" w:rsidR="001A64D1" w:rsidRDefault="001A64D1" w:rsidP="00E76DC4">
      <w:pPr>
        <w:pStyle w:val="Nadpisbezsl1-1"/>
      </w:pP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23742F1C" w:rsidR="00E76DC4" w:rsidRPr="00F95FBD" w:rsidRDefault="004C663A"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František Klíma </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0E9AD9F"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Pod Dráhou 1</w:t>
            </w:r>
            <w:r>
              <w:rPr>
                <w:sz w:val="18"/>
              </w:rPr>
              <w:t xml:space="preserve">, </w:t>
            </w:r>
            <w:r w:rsidRPr="00525A2B">
              <w:rPr>
                <w:sz w:val="18"/>
              </w:rPr>
              <w:t>170 00</w:t>
            </w:r>
            <w:r>
              <w:rPr>
                <w:sz w:val="18"/>
              </w:rPr>
              <w:t xml:space="preserve"> Praha 7</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475C30B3"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KlimaF@spravazeleznic.cz</w:t>
            </w:r>
            <w:r>
              <w:rPr>
                <w:sz w:val="18"/>
              </w:rPr>
              <w:t xml:space="preserve"> </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1450B2AC"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+420 723 468 318</w:t>
            </w:r>
          </w:p>
        </w:tc>
      </w:tr>
    </w:tbl>
    <w:p w14:paraId="219410AC" w14:textId="4A00ABC3" w:rsidR="00E76DC4" w:rsidRDefault="00E76DC4" w:rsidP="00E76DC4">
      <w:pPr>
        <w:pStyle w:val="Textbezodsazen"/>
        <w:rPr>
          <w:b/>
        </w:rPr>
      </w:pPr>
    </w:p>
    <w:p w14:paraId="25E5D882" w14:textId="77777777" w:rsidR="004C663A" w:rsidRPr="00F95FBD" w:rsidRDefault="004C663A" w:rsidP="004C663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663A" w:rsidRPr="00F95FBD" w14:paraId="1517531C" w14:textId="77777777" w:rsidTr="003F61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FA8DF" w14:textId="77777777" w:rsidR="004C663A" w:rsidRPr="00F95FBD" w:rsidRDefault="004C663A" w:rsidP="003F6125">
            <w:pPr>
              <w:pStyle w:val="Tabulka"/>
              <w:rPr>
                <w:rStyle w:val="Nadpisvtabulce"/>
                <w:b w:val="0"/>
              </w:rPr>
            </w:pPr>
            <w:r w:rsidRPr="00F95FBD">
              <w:rPr>
                <w:rStyle w:val="Nadpisvtabulce"/>
                <w:b w:val="0"/>
              </w:rPr>
              <w:t>Jméno a příjmení</w:t>
            </w:r>
          </w:p>
        </w:tc>
        <w:tc>
          <w:tcPr>
            <w:tcW w:w="5812" w:type="dxa"/>
          </w:tcPr>
          <w:p w14:paraId="56EE7550" w14:textId="1A26CA63" w:rsidR="004C663A" w:rsidRPr="00F95FBD" w:rsidRDefault="004C663A" w:rsidP="003F61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Miloš Veselý </w:t>
            </w:r>
          </w:p>
        </w:tc>
      </w:tr>
      <w:tr w:rsidR="004C663A" w:rsidRPr="00F95FBD" w14:paraId="709F5E22"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3ADC12DE" w14:textId="77777777" w:rsidR="004C663A" w:rsidRPr="00F95FBD" w:rsidRDefault="004C663A" w:rsidP="003F6125">
            <w:pPr>
              <w:pStyle w:val="Tabulka"/>
              <w:rPr>
                <w:sz w:val="18"/>
              </w:rPr>
            </w:pPr>
            <w:r w:rsidRPr="00F95FBD">
              <w:rPr>
                <w:sz w:val="18"/>
              </w:rPr>
              <w:t>Adresa</w:t>
            </w:r>
          </w:p>
        </w:tc>
        <w:tc>
          <w:tcPr>
            <w:tcW w:w="5812" w:type="dxa"/>
          </w:tcPr>
          <w:p w14:paraId="27CCA33F" w14:textId="4F590866" w:rsidR="004C663A" w:rsidRPr="00F95FBD" w:rsidRDefault="00525A2B"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Pod Dráhou 1</w:t>
            </w:r>
            <w:r>
              <w:rPr>
                <w:sz w:val="18"/>
              </w:rPr>
              <w:t xml:space="preserve">, </w:t>
            </w:r>
            <w:r w:rsidRPr="00525A2B">
              <w:rPr>
                <w:sz w:val="18"/>
              </w:rPr>
              <w:t>170 00</w:t>
            </w:r>
            <w:r>
              <w:rPr>
                <w:sz w:val="18"/>
              </w:rPr>
              <w:t xml:space="preserve"> Praha 7</w:t>
            </w:r>
          </w:p>
        </w:tc>
      </w:tr>
      <w:tr w:rsidR="004C663A" w:rsidRPr="00F95FBD" w14:paraId="2C5C23CB"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2CEB2BAC" w14:textId="77777777" w:rsidR="004C663A" w:rsidRPr="00F95FBD" w:rsidRDefault="004C663A" w:rsidP="003F6125">
            <w:pPr>
              <w:pStyle w:val="Tabulka"/>
              <w:rPr>
                <w:sz w:val="18"/>
              </w:rPr>
            </w:pPr>
            <w:r w:rsidRPr="00F95FBD">
              <w:rPr>
                <w:sz w:val="18"/>
              </w:rPr>
              <w:t>E-mail</w:t>
            </w:r>
          </w:p>
        </w:tc>
        <w:tc>
          <w:tcPr>
            <w:tcW w:w="5812" w:type="dxa"/>
          </w:tcPr>
          <w:p w14:paraId="54F73FEC" w14:textId="13CCA910" w:rsidR="004C663A" w:rsidRPr="00F95FBD" w:rsidRDefault="00525A2B"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VeselyMilos@spravazeleznic.cz</w:t>
            </w:r>
          </w:p>
        </w:tc>
      </w:tr>
      <w:tr w:rsidR="004C663A" w:rsidRPr="00F95FBD" w14:paraId="0990216A"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65D5DB2A" w14:textId="77777777" w:rsidR="004C663A" w:rsidRPr="00F95FBD" w:rsidRDefault="004C663A" w:rsidP="003F6125">
            <w:pPr>
              <w:pStyle w:val="Tabulka"/>
              <w:rPr>
                <w:sz w:val="18"/>
              </w:rPr>
            </w:pPr>
            <w:r w:rsidRPr="00F95FBD">
              <w:rPr>
                <w:sz w:val="18"/>
              </w:rPr>
              <w:t>Telefon</w:t>
            </w:r>
          </w:p>
        </w:tc>
        <w:tc>
          <w:tcPr>
            <w:tcW w:w="5812" w:type="dxa"/>
          </w:tcPr>
          <w:p w14:paraId="5845D1D8" w14:textId="0284AF5C" w:rsidR="004C663A" w:rsidRPr="00F95FBD" w:rsidRDefault="00525A2B"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525A2B">
              <w:rPr>
                <w:sz w:val="18"/>
              </w:rPr>
              <w:t>+420 607 278 417</w:t>
            </w:r>
          </w:p>
        </w:tc>
      </w:tr>
    </w:tbl>
    <w:p w14:paraId="16CA3787" w14:textId="13D96474" w:rsidR="004C663A" w:rsidRDefault="004C663A" w:rsidP="00E76DC4">
      <w:pPr>
        <w:pStyle w:val="Textbezodsazen"/>
        <w:rPr>
          <w:b/>
        </w:rPr>
      </w:pPr>
    </w:p>
    <w:p w14:paraId="15EF62F3" w14:textId="41E1F620" w:rsidR="004C663A" w:rsidRDefault="004C663A" w:rsidP="00E76DC4">
      <w:pPr>
        <w:pStyle w:val="Textbezodsazen"/>
        <w:rPr>
          <w:b/>
        </w:rPr>
      </w:pPr>
    </w:p>
    <w:p w14:paraId="14AC0710" w14:textId="6FE27CDD" w:rsidR="004C663A" w:rsidRDefault="004C663A" w:rsidP="00E76DC4">
      <w:pPr>
        <w:pStyle w:val="Textbezodsazen"/>
        <w:rPr>
          <w:b/>
        </w:rPr>
      </w:pPr>
    </w:p>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2C8E12C7" w14:textId="3249835F" w:rsidR="004C663A" w:rsidRDefault="004C663A" w:rsidP="00E76DC4">
      <w:pPr>
        <w:pStyle w:val="Textbezodsazen"/>
        <w:rPr>
          <w:b/>
        </w:rPr>
      </w:pPr>
    </w:p>
    <w:p w14:paraId="4941A21C" w14:textId="3BEFFB8E" w:rsidR="004C663A" w:rsidRDefault="004C663A" w:rsidP="00E76DC4">
      <w:pPr>
        <w:pStyle w:val="Textbezodsazen"/>
        <w:rPr>
          <w:b/>
        </w:rPr>
      </w:pPr>
    </w:p>
    <w:p w14:paraId="00923FB8" w14:textId="5860698F" w:rsidR="004C663A" w:rsidRDefault="004C663A" w:rsidP="00E76DC4">
      <w:pPr>
        <w:pStyle w:val="Textbezodsazen"/>
        <w:rPr>
          <w:b/>
        </w:rPr>
      </w:pPr>
    </w:p>
    <w:p w14:paraId="05BE85D1" w14:textId="014DDBC4" w:rsidR="004C663A" w:rsidRDefault="004C663A" w:rsidP="00E76DC4">
      <w:pPr>
        <w:pStyle w:val="Textbezodsazen"/>
        <w:rPr>
          <w:b/>
        </w:rPr>
      </w:pPr>
    </w:p>
    <w:p w14:paraId="22F4AAE6" w14:textId="4737B8DB" w:rsidR="004C663A" w:rsidRDefault="004C663A" w:rsidP="00E76DC4">
      <w:pPr>
        <w:pStyle w:val="Textbezodsazen"/>
        <w:rPr>
          <w:b/>
        </w:rPr>
      </w:pPr>
    </w:p>
    <w:p w14:paraId="3FBB74F0" w14:textId="4B949DD2" w:rsidR="004C663A" w:rsidRDefault="004C663A" w:rsidP="00E76DC4">
      <w:pPr>
        <w:pStyle w:val="Textbezodsazen"/>
        <w:rPr>
          <w:b/>
        </w:rPr>
      </w:pPr>
    </w:p>
    <w:p w14:paraId="1F776E3D" w14:textId="1E57350D" w:rsidR="004C663A" w:rsidRDefault="004C663A" w:rsidP="00E76DC4">
      <w:pPr>
        <w:pStyle w:val="Textbezodsazen"/>
        <w:rPr>
          <w:b/>
        </w:rPr>
      </w:pPr>
    </w:p>
    <w:p w14:paraId="129AF0F1" w14:textId="31A9FCD0" w:rsidR="004C663A" w:rsidRDefault="004C663A" w:rsidP="00E76DC4">
      <w:pPr>
        <w:pStyle w:val="Textbezodsazen"/>
        <w:rPr>
          <w:b/>
        </w:rPr>
      </w:pPr>
    </w:p>
    <w:p w14:paraId="61547D3E" w14:textId="1CB2D965" w:rsidR="004C663A" w:rsidRDefault="004C663A" w:rsidP="00E76DC4">
      <w:pPr>
        <w:pStyle w:val="Textbezodsazen"/>
        <w:rPr>
          <w:b/>
        </w:rPr>
      </w:pPr>
    </w:p>
    <w:p w14:paraId="144AC432" w14:textId="3902DECA" w:rsidR="004C663A" w:rsidRDefault="004C663A" w:rsidP="00E76DC4">
      <w:pPr>
        <w:pStyle w:val="Textbezodsazen"/>
        <w:rPr>
          <w:b/>
        </w:rPr>
      </w:pPr>
    </w:p>
    <w:p w14:paraId="3E29B87C" w14:textId="77777777" w:rsidR="00E90063" w:rsidRDefault="00E90063" w:rsidP="00E76DC4">
      <w:pPr>
        <w:pStyle w:val="Textbezodsazen"/>
        <w:rPr>
          <w:b/>
        </w:rPr>
      </w:pPr>
    </w:p>
    <w:p w14:paraId="65BD890A" w14:textId="77777777" w:rsidR="004C663A" w:rsidRDefault="004C663A" w:rsidP="00E76DC4">
      <w:pPr>
        <w:pStyle w:val="Textbezodsazen"/>
        <w:rPr>
          <w:b/>
        </w:rPr>
      </w:pPr>
    </w:p>
    <w:p w14:paraId="48505D4B" w14:textId="68A40032" w:rsidR="00E76DC4" w:rsidRDefault="00E76DC4" w:rsidP="00E76DC4">
      <w:pPr>
        <w:pStyle w:val="Textbezodsazen"/>
        <w:rPr>
          <w:b/>
        </w:rPr>
      </w:pPr>
      <w:r>
        <w:rPr>
          <w:b/>
        </w:rPr>
        <w:lastRenderedPageBreak/>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537F2FF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3B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3B1">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690B3F9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3B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3B1">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6AAF0A8C"/>
    <w:multiLevelType w:val="multilevel"/>
    <w:tmpl w:val="0D34D660"/>
    <w:numStyleLink w:val="ListBulletmultilevel"/>
  </w:abstractNum>
  <w:abstractNum w:abstractNumId="8"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8"/>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C1581"/>
    <w:rsid w:val="000E23A7"/>
    <w:rsid w:val="0010693F"/>
    <w:rsid w:val="00114472"/>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71C0"/>
    <w:rsid w:val="002676A8"/>
    <w:rsid w:val="00280E07"/>
    <w:rsid w:val="00285336"/>
    <w:rsid w:val="00292E25"/>
    <w:rsid w:val="0029755E"/>
    <w:rsid w:val="002C31BF"/>
    <w:rsid w:val="002D08B1"/>
    <w:rsid w:val="002D35B8"/>
    <w:rsid w:val="002E0CD7"/>
    <w:rsid w:val="00341DCF"/>
    <w:rsid w:val="00352395"/>
    <w:rsid w:val="00357BC6"/>
    <w:rsid w:val="0036685B"/>
    <w:rsid w:val="00373009"/>
    <w:rsid w:val="003956C6"/>
    <w:rsid w:val="003A513B"/>
    <w:rsid w:val="003F3337"/>
    <w:rsid w:val="00406A64"/>
    <w:rsid w:val="00441430"/>
    <w:rsid w:val="004451FE"/>
    <w:rsid w:val="00450F07"/>
    <w:rsid w:val="00453CD3"/>
    <w:rsid w:val="00460660"/>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736B7"/>
    <w:rsid w:val="00575E5A"/>
    <w:rsid w:val="00583BC2"/>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2071"/>
    <w:rsid w:val="00723ED1"/>
    <w:rsid w:val="00731954"/>
    <w:rsid w:val="00743525"/>
    <w:rsid w:val="0076286B"/>
    <w:rsid w:val="00766846"/>
    <w:rsid w:val="00770817"/>
    <w:rsid w:val="0077673A"/>
    <w:rsid w:val="007846E1"/>
    <w:rsid w:val="0078755E"/>
    <w:rsid w:val="0079518D"/>
    <w:rsid w:val="007B570C"/>
    <w:rsid w:val="007C589B"/>
    <w:rsid w:val="007E4A6E"/>
    <w:rsid w:val="007E5CDB"/>
    <w:rsid w:val="007F56A7"/>
    <w:rsid w:val="007F6F14"/>
    <w:rsid w:val="007F7C67"/>
    <w:rsid w:val="00807DD0"/>
    <w:rsid w:val="008136F8"/>
    <w:rsid w:val="00837F22"/>
    <w:rsid w:val="008659F3"/>
    <w:rsid w:val="00874DEF"/>
    <w:rsid w:val="00886D4B"/>
    <w:rsid w:val="00895406"/>
    <w:rsid w:val="008A3568"/>
    <w:rsid w:val="008D03B9"/>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A4CBB"/>
    <w:rsid w:val="00AA65FA"/>
    <w:rsid w:val="00AA7351"/>
    <w:rsid w:val="00AD056F"/>
    <w:rsid w:val="00AD6731"/>
    <w:rsid w:val="00AE5EDA"/>
    <w:rsid w:val="00AF4790"/>
    <w:rsid w:val="00AF77DB"/>
    <w:rsid w:val="00B15D0D"/>
    <w:rsid w:val="00B6074B"/>
    <w:rsid w:val="00B75EE1"/>
    <w:rsid w:val="00B77481"/>
    <w:rsid w:val="00B8518B"/>
    <w:rsid w:val="00B876DB"/>
    <w:rsid w:val="00BD7E91"/>
    <w:rsid w:val="00C02D0A"/>
    <w:rsid w:val="00C03A6E"/>
    <w:rsid w:val="00C44F6A"/>
    <w:rsid w:val="00C463AF"/>
    <w:rsid w:val="00C47AE3"/>
    <w:rsid w:val="00C75CE5"/>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C67FF9C-C3FE-44C6-8B89-34CFC40F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13</TotalTime>
  <Pages>11</Pages>
  <Words>3257</Words>
  <Characters>19220</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5</cp:revision>
  <cp:lastPrinted>2021-03-18T13:43:00Z</cp:lastPrinted>
  <dcterms:created xsi:type="dcterms:W3CDTF">2021-03-18T10:30:00Z</dcterms:created>
  <dcterms:modified xsi:type="dcterms:W3CDTF">2021-03-18T13:43:00Z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